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2010/13 vom 28. September 2010</w:t>
      </w:r>
    </w:p>
    <w:p>
      <w:r>
        <w:t>Sg Versicherungsgericht, 2010-09-28, DE</w:t>
      </w:r>
    </w:p>
    <w:p>
      <w:r>
        <w:rPr>
          <w:b/>
        </w:rPr>
        <w:t xml:space="preserve">Quelle: </w:t>
      </w:r>
      <w:r>
        <w:t>https://mcp.opencaselaw.ch/entscheid/sg_publikationen_EL 2010_13</w:t>
      </w:r>
    </w:p>
    <w:p>
      <w:r>
        <w:t>FR: SG_VERSICHERUNGSGERICHT EL 2010/13 du 28 septembre 2010</w:t>
      </w:r>
    </w:p>
    <w:p>
      <w:r>
        <w:t>IT: SG_VERSICHERUNGSGERICHT EL 2010/13 del 28 settembre 2010</w:t>
      </w:r>
    </w:p>
    <w:p>
      <w:pPr>
        <w:pStyle w:val="Heading2"/>
      </w:pPr>
      <w:r>
        <w:t>Regeste</w:t>
      </w:r>
    </w:p>
    <w:p>
      <w:r>
        <w:t>Art. 25 Abs. 1 ATSG. Der gute Glaube als Voraussetzung für den Erlass einer EL-Rückforderung wurde verneint, weil der EL-Ansprecher seine Meldepflicht in Bezug auf eine ausbezahlte Pensionskassenrente samt Kinderrenten verletzte und trotz der ihm obliegenden Prüfungspflicht nicht erkannte und meldete, dass seine Pensionskassenrente offensichtlich unrichtigerweise nicht angerechnet wurde (Entscheid des Versicherungsgerichts des Kantons St. Gallen vom 28. September 2010, EL 2010/13). Bestätigt durch Urteil des Bundesgerichts 9C_921/2010.</w:t>
      </w:r>
    </w:p>
    <w:p>
      <w:pPr>
        <w:pStyle w:val="Heading2"/>
      </w:pPr>
      <w:r>
        <w:t>Erwägungen</w:t>
      </w:r>
    </w:p>
    <w:p>
      <w:r>
        <w:rPr>
          <w:b/>
        </w:rPr>
        <w:t>E. 1</w:t>
      </w:r>
    </w:p>
    <w:p>
      <w:r>
        <w:t>Umstritten und im vorliegenden Verfahren zu überprüfen ist, ob die Beschwerdegegnerin dem Beschwerdeführer den Erlass der Rückforderung von Fr. 37'672.- zu Recht verweigert hat. Die Rechtmässigkeit der Rückforderung an sich hat das Versicherungsgericht des Kantons St. Gallen im Entscheid EL 2009/7 vom 13. Juli 2009 bereits bestätigt. Der Entscheid ist unangefochten in Rechtskraft erwachsen.</w:t>
      </w:r>
    </w:p>
    <w:p>
      <w:r>
        <w:rPr>
          <w:b/>
        </w:rPr>
        <w:t>E. 2</w:t>
      </w:r>
    </w:p>
    <w:p>
      <w:r>
        <w:t>2.1  Unrechtmässig bezogene Leistungen sind zurückzuerstatten. Wer die unrechtmässigen Leistungen aber in gutem Glauben empfangen hat, muss sie nicht zurückerstatten, wenn eine grosse Härte vorliegt (Art. 25 Abs. 1 des Bundesgesetzes über den Allgemeinen Teil des Sozialversicherungsrechts [ATSG; SR 830.1];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 2009, Rz. 28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S.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 und Auskunftspflicht hinsichtlich Änderungen in den massgebenden Verhältnissen in grober Weise verletzt hat (BGE 102 V 245 mit Hinweisen);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 2.2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Als Beispiel eines ohne weiteres zu erkennenden Fehlers, dessen Nichtmeldung einen gutgläubigen Leistungsbezug ausschliesst, ist etwa die Anrechnung von zu hohen Krankenkassenprämien zu nennen (EVGE i.S. B. vom 3. März 1993). Das Versicherungsgericht des Kantons St. Gallen hat beispielsweise die Tatsache, dass EL-Bezüger nicht bemerkt hatten, dass eine um Fr. 21.- pro Tag zu hohe Tagestaxe angerechnet oder eine IV-Zusatzrente oder eine Lebensversicherungs- oder Leibrente nicht berücksichtigt worden waren, als groben Verstoss gegen die Sorgfaltspflicht gewertet (Urteile EL 1998/28 vom 22. Mai 2001; EL 2003/26 vom 12. Februar 2004; EL 2005/22 vom 13. März 2006; EL 2008/1 vom 12. März 2008; EL 2008/16 vom 4. September 2008). 2.3  Vor der erstmaligen EL-Zusprache fragte die EL-Durchführungsstelle den Rechtsvertreter des Beschwerdeführers mit Schreiben vom 26. November 2004, wer eine BVG-Rente erhalte und ab wann diese Renten ausgerichtet würden (EL-act. 60). Der Rechtsvertreter informierte die EL-Durchführungsstelle am 30. November 2004 darüber, dass der Beschwerdeführer ab 1. November 2003 Anspruch auf eine Pensionskassenrente habe. Noch seien allerdings keine Zahlungen ausgerichtet worden, da die IV-Rentenverfügung noch nicht rechtskräftig sei. Da der Beschwerdeführer gegen diese Verfügung Einsprache erheben wolle, werde wohl auch noch längere Zeit keine Invalidenrente der Vorsorgeeinrichtung zur Auszahlung gelangen (EL-act. 59). Die Pensionskasse teilte dem Rechtsvertreter des Beschwerdeführers jedoch bereits mit Schreiben vom 28. Januar 2005 mit, sie bezahle rückwirkend ab 1. November 2003 eine Rente von Fr. 1'050.- monatlich zuzüglich zwei Kinderrenten (EL-act. 33-2). Diese Tatsache meldeten der Beschwerdeführer bzw. sein Rechtsvertreter der EL-Durchführungsstelle nicht (bzw. erst im Rahmen der periodischen Überprüfung 2008, vgl. EL-act. 32-1 ff.), obwohl diesbezüglich eine offensichtliche, unverzügliche Meldepflicht bestanden hätte. Nicht nur wegen des Hinweises auf jeder EL-Verfügung, dass eine Erhöhung des Einkommens (z.B. durch Renten und Pensionen) meldepflichtig sei, sondern insbesondere auch wegen der am 26. November 2004 erfolgten Anfrage der Beschwerdegegnerin war der Beschwerdeführer darüber informiert, dass er Rentenauszahlung und Rentenhöhe melden müsste und diese in die EL-Berechnung Eingang finden würde. Allein mit den Schreiben vom 30. November 2004 war seine Meldepflicht in Bezug auf die Pensionskassenrente klarerweise noch nicht erfüllt. 2.4  Der Beschwerdeführer (bzw. sein Rechtsvertreter, was sich der Beschwerdeführer anrechnen lassen muss) hat im Übrigen nicht nur eine Meldepflichtverletzung begangen. Ihm musste bereits bei der erstmaligen EL-Zusprache bewusst sein, dass seine Pensionskassenrente samt Kinderrenten in die EL-Berechnung einbezogen würden. Zudem war offensichtlich, dass die erste EL-Berechnung vom 3. Februar 2005 diese Pensionskassenrenten noch nicht enthielt. Die Renten der Invalidenversicherung waren mit Fr. 34'836.- auf der Einnahmenseite enthalten. Die Zeile 'Andere Renten und Pensionen aller Art' weist den Betrag von Fr. 4'524.- auf. Die Ausgaben- und Einnahmenpositionen im Berechnungsblatt basieren auf den jeweiligen Jahresbeträgen, was entgegen der in der Beschwerde geäusserten Ansicht ohne weiteres ersichtlich ist. Somit war sofort erkennbar, dass es sich bei der Position von Fr. 4'524.- jährlich bzw. Fr. 377.- monatlich nicht um die Pensionskassenrente des Beschwerdeführers zuzüglich Kinderrenten handeln konnte, sondern um die Pensionskassenrente der Ehefrau samt Kinderrenten. Den entsprechenden Betrag hatte der Rechtsvertreter der Beschwerdegegnerin am 30. November 2004 gemeldet (EL-act. 59-1; 59-3 bis 59-5). Bei Erhalt der EL-Verfügung vom 3. Februar 2005 waren der Beschwerdeführer bzw. sein Rechtsvertreter bereits in Kenntnis über die effektive Auszahlung und die Höhe seiner Pensionskassenrente; dies hatte ihm die Pensionskasse wie erwähnt kurz zuvor mit Schreiben vom 28. Januar 2005 mitgeteilt. Selbst bei nur summarischer Überprüfung des EL-Berechnungsblattes wäre ohne weiteres erkennbar gewesen, dass die Pensionskassenrente des Beschwerdeführers nicht angerechnet worden war. Daher ist eine grobe Nachlässigkeit bei der Überprüfung des Berechnungsblattes seitens des Beschwerdeführers zu bejahen. Neben der Meldepflichtverletzung kann ihm folglich auch der Vorwurf der Sorgfaltspflichtverletzung nicht erspart bleiben. 2.5  Der Rechtsvertreter des Beschwerdeführers stellt sich in der Beschwerde auf den Standpunkt, dem Beschwerdeführer habe keine Überprüfungspflicht oblegen, weil die Verfügung vom 3. Februar 2005 ihm direkt und nicht dem Rechtsvertreter zugestellt worden sei. Die Verfügung wurde nach Lage der Akten versehentlich offenbar tatsächlich nur dem Beschwerdeführer eröffnet. Dies kann jedoch nicht dazu führen, dass der Beschwerdeführer jeglicher Pflichten entbunden gewesen wäre. Nach höchstrichterlicher Rechtsprechung ist ein Verfügungs­adressat aufgrund der ihn treffenden zumutbaren Sorgfalt verpflichtet, sich spätestens am 30. Tag nach der erfolgten Zustellung bei seinem Rechtsvertreter zu erkundigen, ob ein Entscheid auch seinem Vertreter oder nur ihm persönlich zugestellt worden ist (Bundesgerichtsurteil I 598/01 vom 6. August 2002; ARV 2002 S. 66 mit Hinweis auf das Urteil C 168/00 vom 13. Februar 2001; vgl. auch das Urteil I 129/05 vom 6. Dezember 2005, E. 3.2). Als der Beschwerdeführer nach Erhalt der Verfügung vom 3. Februar 2005 nichts von seinem Rechtsvertreter hörte und – unüblicherweise – von diesem nicht mit einer Orientierungskopie bedient wurde, hätte es an ihm gelegen, sich beim Rechtsvertreter zu erkundigen, ob dieser die Verfügung auch erhalten und kontrolliert habe. Diese Nachfrage wäre erst recht angezeigt gewesen, wenn der Beschwerdeführer die Verfügung aufgrund seiner Augenkrankheit nicht selbst lesen konnte – wie der Rechtsvertreter in der Beschwerde geltend macht – und ihm auch seine Ehefrau dabei nicht hinreichend hätte behilflich sein können. Aus der damals offenbar unterbliebenen Eröffnung der Verfügung an den Rechtsvertreter kann der Beschwerdeführer unter diesen Umständen nichts zu seinen Gunsten ableiten. Auch die in der Replik geäusserte Ansicht, ein Verfügungsempfänger habe sich nur bei ihn belastenden und nicht bei leistungszusprechenden Verfügungen bei seinem Rechtsvertreter zu erkundigen, vermag nicht zu überzeugen. Das zentrale Interesse eines Leistungsansprechers muss ein rechtmässiger Leistungsbezug sein. Bezieht er ungerechtfertigte Leistungen, hat er mit Rückforderungen zu rechnen. Dem Beschwerdeführer musste daran gelegen sein, die Rechtmässigkeit der Berechnung und der Höhe der ausbezahlten EL zu überprüfen bzw. überprüfen zu lassen. Eine solche Prüfungspflicht kann nicht nur bei belastenden Verfügungen bestehen – die Überprüfung liegt etwa auch deshalb im eigenen Interesse des EL-Bezügers, um zu verhindern, dass ungenügende Leistungen verfügt werden.</w:t>
      </w:r>
    </w:p>
    <w:p>
      <w:r>
        <w:rPr>
          <w:b/>
        </w:rPr>
        <w:t>E. 3</w:t>
      </w:r>
    </w:p>
    <w:p>
      <w:r>
        <w:t>3.1  Gemäss den obenstehenden Erwägungen ist die Beschwerde abzuweisen. Die Beschwerdegegnerin hat das Vorliegen des guten Glaubens als Voraussetzung für den Erlass zu Recht verneint, weil der Beschwerdeführer in Bezug auf die effektive Auszahlung und die Höhe seiner Pensionskassenrente samt Kinderrenten seine Meldepflicht verletzt hat und zudem seiner Pflicht zur Überprüfung der EL-Berechnung und anschliessenden Mitteilung oder Nachfrage bei der Beschwerdegegnerin nicht nachgekommen ist bzw. allenfalls für die Überprüfung notwendige Hilfe nicht in Anspruch genommen hat. Der angefochtene Einspracheentscheid ist nicht zu beanstanden. 3.2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